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17"/>
        <w:gridCol w:w="4321"/>
      </w:tblGrid>
      <w:tr>
        <w:trPr>
          <w:trHeight w:val="1440" w:hRule="atLeast"/>
        </w:trPr>
        <w:tc>
          <w:tcPr>
            <w:tcW w:w="5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3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284" w:hRule="atLeast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Ohlásenie drobnej stavby</w:t>
            </w:r>
          </w:p>
        </w:tc>
      </w:tr>
      <w:tr>
        <w:trPr>
          <w:trHeight w:val="851" w:hRule="atLeast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Podľa §§ 54,55 ods. 2 a § 57 </w:t>
            </w:r>
            <w:r>
              <w:rPr>
                <w:rFonts w:cs="Arial" w:ascii="Trebuchet MS" w:hAnsi="Trebuchet MS"/>
                <w:sz w:val="18"/>
                <w:szCs w:val="18"/>
              </w:rPr>
              <w:t>zákona č. 50/1976 Zb. o územnom plánovaní a stavebnom poriadku v znení neskorších predpisov (stavebný zákon) a podľa § 5 vyhlášky č. 453/2000 Z. z. Ministerstva životného prostredia Slovenskej republiky, ktorou sa vykonávajú niektoré ustanovenia stavebného zákona.</w:t>
            </w:r>
          </w:p>
        </w:tc>
      </w:tr>
    </w:tbl>
    <w:p>
      <w:pPr>
        <w:pStyle w:val="Normal"/>
        <w:widowControl w:val="false"/>
        <w:spacing w:before="0" w:after="0"/>
        <w:rPr>
          <w:rFonts w:ascii="Calibri" w:hAnsi="Calibri" w:cs="Calibri"/>
          <w:sz w:val="10"/>
          <w:szCs w:val="10"/>
        </w:rPr>
      </w:pPr>
      <w:r>
        <w:rPr>
          <w:rFonts w:cs="Calibri"/>
          <w:sz w:val="10"/>
          <w:szCs w:val="1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 </w:t>
      </w:r>
      <w:r>
        <w:rPr>
          <w:rFonts w:cs="Arial" w:ascii="Trebuchet MS" w:hAnsi="Trebuchet MS"/>
          <w:b/>
        </w:rPr>
        <w:t>Názov drobnej stavby</w:t>
      </w:r>
    </w:p>
    <w:tbl>
      <w:tblPr>
        <w:tblW w:w="9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1906"/>
        <w:gridCol w:w="5892"/>
      </w:tblGrid>
      <w:tr>
        <w:trPr>
          <w:trHeight w:val="561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Názov drobnej stavby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56" w:hRule="atLeast"/>
          <w:cantSplit w:val="true"/>
        </w:trPr>
        <w:tc>
          <w:tcPr>
            <w:tcW w:w="1808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b/>
                <w:bCs/>
                <w:iCs/>
                <w:sz w:val="18"/>
                <w:szCs w:val="18"/>
              </w:rPr>
              <w:t>Miesto drobnej stavby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Ulica, časť mesta,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parc. číslo pozemku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95" w:hRule="atLeast"/>
          <w:cantSplit w:val="true"/>
        </w:trPr>
        <w:tc>
          <w:tcPr>
            <w:tcW w:w="1808" w:type="dxa"/>
            <w:vMerge w:val="continue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b/>
                <w:bCs/>
                <w:iCs/>
                <w:sz w:val="18"/>
                <w:szCs w:val="18"/>
              </w:rPr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Doterajší spôsob užívania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pozemku / stavby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 </w:t>
      </w:r>
      <w:r>
        <w:rPr>
          <w:rFonts w:cs="Arial" w:ascii="Trebuchet MS" w:hAnsi="Trebuchet MS"/>
          <w:b/>
        </w:rPr>
        <w:t>Stavebník, ohlasovateľ</w:t>
      </w:r>
    </w:p>
    <w:tbl>
      <w:tblPr>
        <w:tblW w:w="9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511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Calibri" w:hAnsi="Calibri" w:eastAsia="MS Mincho" w:cs="Arial"/>
              </w:rPr>
            </w:pPr>
            <w:r>
              <w:rPr>
                <w:rFonts w:eastAsia="MS Mincho" w:cs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 </w:t>
      </w:r>
      <w:r>
        <w:rPr>
          <w:rFonts w:cs="Arial" w:ascii="Trebuchet MS" w:hAnsi="Trebuchet MS"/>
          <w:b/>
        </w:rPr>
        <w:t>V zastúpení</w:t>
      </w:r>
    </w:p>
    <w:tbl>
      <w:tblPr>
        <w:tblW w:w="9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8"/>
          <w:szCs w:val="8"/>
        </w:rPr>
      </w:pPr>
      <w:r>
        <w:rPr>
          <w:rFonts w:cs="Arial" w:ascii="Trebuchet MS" w:hAnsi="Trebuchet MS"/>
          <w:b/>
          <w:bCs/>
          <w:sz w:val="8"/>
          <w:szCs w:val="8"/>
        </w:rPr>
      </w:r>
    </w:p>
    <w:p>
      <w:pPr>
        <w:pStyle w:val="NormalWeb"/>
        <w:spacing w:before="0" w:after="0"/>
        <w:rPr/>
      </w:pPr>
      <w:r>
        <w:rPr>
          <w:rFonts w:cs="Arial" w:ascii="Trebuchet MS" w:hAnsi="Trebuchet MS"/>
          <w:b/>
          <w:bCs/>
        </w:rPr>
        <w:t xml:space="preserve">  </w:t>
      </w:r>
      <w:r>
        <w:rPr>
          <w:rFonts w:cs="Arial" w:ascii="Trebuchet MS" w:hAnsi="Trebuchet MS"/>
          <w:b/>
          <w:bCs/>
        </w:rPr>
        <w:t>Údaje o drobnej stavbe</w:t>
      </w:r>
    </w:p>
    <w:tbl>
      <w:tblPr>
        <w:tblW w:w="9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933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120" w:after="0"/>
              <w:rPr>
                <w:rFonts w:ascii="Trebuchet MS" w:hAnsi="Trebuchet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Trebuchet MS" w:hAnsi="Trebuchet MS"/>
                <w:b/>
                <w:bCs/>
                <w:sz w:val="18"/>
                <w:szCs w:val="18"/>
              </w:rPr>
              <w:t>Druh stavby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Trebuchet MS" w:hAnsi="Trebuchet MS"/>
                <w:b/>
                <w:bCs/>
                <w:sz w:val="18"/>
                <w:szCs w:val="18"/>
              </w:rPr>
              <w:t>podľa § 139b stavebn. zákona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49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Web"/>
              <w:spacing w:before="120" w:after="0"/>
              <w:rPr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Stavba ku ktorej bude plniť doplnkovú funkciu</w:t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Trebuchet MS" w:hAnsi="Trebuchet MS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96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 w:cs="Arial"/>
                <w:b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Jednoduchý technický popis uskutočnenia stavby</w:t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  <w:t xml:space="preserve"> </w:t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  <w:bCs/>
        </w:rPr>
        <w:t xml:space="preserve"> </w:t>
      </w:r>
      <w:r>
        <w:rPr>
          <w:rFonts w:cs="Arial" w:ascii="Trebuchet MS" w:hAnsi="Trebuchet MS"/>
          <w:b/>
          <w:bCs/>
        </w:rPr>
        <w:t xml:space="preserve">Stavebný pozemok </w:t>
      </w:r>
      <w:r>
        <w:rPr>
          <w:rFonts w:cs="Arial" w:ascii="Trebuchet MS" w:hAnsi="Trebuchet MS"/>
          <w:b/>
        </w:rPr>
        <w:t>podľa katastra nehnuteľností</w:t>
      </w:r>
    </w:p>
    <w:tbl>
      <w:tblPr>
        <w:tblW w:w="9639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2806"/>
        <w:gridCol w:w="2302"/>
        <w:gridCol w:w="2688"/>
      </w:tblGrid>
      <w:tr>
        <w:trPr>
          <w:trHeight w:val="454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rFonts w:cs="Arial" w:ascii="Trebuchet MS" w:hAnsi="Trebuchet MS"/>
          <w:b/>
        </w:rPr>
        <w:t xml:space="preserve">  </w:t>
      </w:r>
      <w:r>
        <w:rPr>
          <w:rFonts w:cs="Arial" w:ascii="Trebuchet MS" w:hAnsi="Trebuchet MS"/>
          <w:b/>
        </w:rPr>
        <w:t xml:space="preserve">Spôsob uskutočnenia drobnej stavby </w:t>
      </w:r>
      <w:r>
        <w:rPr>
          <w:rFonts w:cs="Arial" w:ascii="Trebuchet MS" w:hAnsi="Trebuchet MS"/>
          <w:sz w:val="18"/>
          <w:szCs w:val="18"/>
        </w:rPr>
        <w:t>(</w:t>
      </w:r>
      <w:r>
        <w:rPr>
          <w:rFonts w:ascii="Trebuchet MS" w:hAnsi="Trebuchet MS"/>
          <w:color w:val="000000"/>
          <w:sz w:val="18"/>
          <w:szCs w:val="18"/>
        </w:rPr>
        <w:t>uviesť zhotoviteľa)</w:t>
      </w:r>
    </w:p>
    <w:p>
      <w:pPr>
        <w:pStyle w:val="NormalWeb"/>
        <w:spacing w:before="0" w:after="0"/>
        <w:ind w:left="142" w:hanging="142"/>
        <w:rPr/>
      </w:pPr>
      <w:r>
        <w:rPr>
          <w:rFonts w:cs="Arial" w:ascii="Trebuchet MS" w:hAnsi="Trebuchet MS"/>
          <w:b/>
        </w:rPr>
        <w:tab/>
        <w:tab/>
        <w:tab/>
        <w:tab/>
      </w:r>
      <w:r>
        <w:rPr>
          <w:rFonts w:ascii="Trebuchet MS" w:hAnsi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813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90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Stavbyvedúci / stavebný dozor</w:t>
            </w:r>
            <w:r>
              <w:rPr>
                <w:rFonts w:cs="Arial" w:ascii="Trebuchet MS" w:hAnsi="Trebuchet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widowControl w:val="false"/>
        <w:spacing w:before="0" w:after="0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widowControl w:val="false"/>
        <w:spacing w:before="0" w:after="0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tbl>
      <w:tblPr>
        <w:tblW w:w="9639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6"/>
        <w:gridCol w:w="1464"/>
        <w:gridCol w:w="568"/>
        <w:gridCol w:w="1558"/>
        <w:gridCol w:w="5813"/>
      </w:tblGrid>
      <w:tr>
        <w:trPr>
          <w:trHeight w:val="284" w:hRule="exact"/>
          <w:cantSplit w:val="true"/>
        </w:trPr>
        <w:tc>
          <w:tcPr>
            <w:tcW w:w="236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V</w:t>
            </w:r>
          </w:p>
        </w:tc>
        <w:tc>
          <w:tcPr>
            <w:tcW w:w="1464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8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dňa</w:t>
            </w:r>
          </w:p>
        </w:tc>
        <w:tc>
          <w:tcPr>
            <w:tcW w:w="1558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3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205" w:hRule="exact"/>
          <w:cantSplit w:val="true"/>
        </w:trPr>
        <w:tc>
          <w:tcPr>
            <w:tcW w:w="3826" w:type="dxa"/>
            <w:gridSpan w:val="4"/>
            <w:vMerge w:val="restart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3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26" w:hRule="exact"/>
          <w:cantSplit w:val="true"/>
        </w:trPr>
        <w:tc>
          <w:tcPr>
            <w:tcW w:w="3826" w:type="dxa"/>
            <w:gridSpan w:val="4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3" w:type="dxa"/>
            <w:tcBorders/>
            <w:vAlign w:val="center"/>
          </w:tcPr>
          <w:p>
            <w:pPr>
              <w:pStyle w:val="Normal"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210" w:hanging="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cs="Trebuchet MS" w:ascii="Trebuchet MS" w:hAnsi="Trebuchet MS"/>
                <w:color w:val="000000"/>
                <w:sz w:val="16"/>
                <w:szCs w:val="16"/>
              </w:rPr>
              <w:t>Podpis ohlasovateľa, resp. pečiatka a podpis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  <w:t>Prílohy:</w:t>
      </w:r>
    </w:p>
    <w:p>
      <w:pPr>
        <w:pStyle w:val="ListParagraph"/>
        <w:numPr>
          <w:ilvl w:val="0"/>
          <w:numId w:val="1"/>
        </w:numPr>
        <w:spacing w:before="120" w:after="0"/>
        <w:ind w:left="714" w:hanging="357"/>
        <w:contextualSpacing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List vlastníctva,</w:t>
      </w:r>
      <w:r>
        <w:rPr>
          <w:rFonts w:ascii="Trebuchet MS" w:hAnsi="Trebuchet MS"/>
          <w:sz w:val="20"/>
          <w:szCs w:val="20"/>
        </w:rPr>
        <w:t xml:space="preserve"> doklad, ktorým sa preukazujú vlastnícke alebo iné práva k nehnuteľnosti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Ak ide o stavby uskutočňované svojpomocne, </w:t>
      </w:r>
      <w:r>
        <w:rPr>
          <w:rFonts w:ascii="Trebuchet MS" w:hAnsi="Trebuchet MS"/>
          <w:b/>
          <w:sz w:val="20"/>
          <w:szCs w:val="20"/>
        </w:rPr>
        <w:t>vyhlásenie kvalifikovanej osoby</w:t>
      </w:r>
      <w:r>
        <w:rPr>
          <w:rFonts w:ascii="Trebuchet MS" w:hAnsi="Trebuchet MS"/>
          <w:sz w:val="20"/>
          <w:szCs w:val="20"/>
        </w:rPr>
        <w:t>, že bude zabezpečovať vedenie uskutočňovania stavby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Jednoduchý situačný nákres v dvoch vyhotoveniach</w:t>
      </w:r>
      <w:r>
        <w:rPr>
          <w:rFonts w:ascii="Trebuchet MS" w:hAnsi="Trebuchet MS"/>
          <w:sz w:val="20"/>
          <w:szCs w:val="20"/>
        </w:rPr>
        <w:t xml:space="preserve">, ktorý obsahuje vyznačenie umiestnenia stavby na pozemku, vrátane odstupov hraníc so susednými pozemkami a od susedných stavieb a stavebné riešenie stavby (na kópii z katastrálnej mapy)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/>
        <w:rPr>
          <w:rFonts w:ascii="Trebuchet MS" w:hAnsi="Trebuchet MS" w:cs="Arial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Jednoduchý technický opis stavby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Rozhodnutia, stanoviská, vyjadrenia, súhlasy, posúdenia</w:t>
      </w:r>
      <w:r>
        <w:rPr>
          <w:rFonts w:ascii="Trebuchet MS" w:hAnsi="Trebuchet MS"/>
          <w:sz w:val="20"/>
          <w:szCs w:val="20"/>
        </w:rPr>
        <w:t xml:space="preserve"> alebo iné opatrenia dotknutých orgánov štátnej správy.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Potvrdenie</w:t>
      </w:r>
      <w:r>
        <w:rPr>
          <w:rFonts w:ascii="Trebuchet MS" w:hAnsi="Trebuchet MS"/>
          <w:sz w:val="20"/>
          <w:szCs w:val="20"/>
        </w:rPr>
        <w:t xml:space="preserve"> montážnej, stavebnej firmy, ktorá bude práce realizovať.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Doklad o zaplatení správneho poplatku</w:t>
      </w:r>
      <w:r>
        <w:rPr>
          <w:rFonts w:ascii="Trebuchet MS" w:hAnsi="Trebuchet MS"/>
          <w:sz w:val="20"/>
          <w:szCs w:val="20"/>
        </w:rPr>
        <w:t xml:space="preserve"> uhradeného do pokladne mesta v súlade so zákonom o správnych poplatkoch č. 145/1995 Z. z. v znení neskorších predpisov podľa položky 60a (sadzobník správnych poplatkov uvedený v sekcii „Ako vybaviť“)</w:t>
      </w:r>
    </w:p>
    <w:sectPr>
      <w:footerReference w:type="default" r:id="rId2"/>
      <w:type w:val="nextPage"/>
      <w:pgSz w:w="12240" w:h="15840"/>
      <w:pgMar w:left="1247" w:right="1247" w:header="0" w:top="1247" w:footer="352" w:bottom="124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uppressAutoHyphens w:val="true"/>
      <w:spacing w:lineRule="auto" w:line="240" w:before="120" w:after="0"/>
      <w:ind w:right="-233" w:hanging="0"/>
      <w:textAlignment w:val="baseline"/>
      <w:rPr>
        <w:rFonts w:ascii="Trebuchet MS" w:hAnsi="Trebuchet MS" w:cs="Arial"/>
        <w:sz w:val="20"/>
        <w:szCs w:val="20"/>
        <w:lang w:eastAsia="en-US"/>
      </w:rPr>
    </w:pPr>
    <w:r>
      <w:rPr>
        <w:rFonts w:cs="Arial" w:ascii="Trebuchet MS" w:hAnsi="Trebuchet MS"/>
        <w:b/>
        <w:sz w:val="18"/>
        <w:szCs w:val="18"/>
        <w:lang w:eastAsia="en-US"/>
      </w:rPr>
      <w:t xml:space="preserve">Ohlásenie drobnej stavby                                                                        </w:t>
    </w:r>
    <w:r>
      <w:rPr>
        <w:rFonts w:cs="Arial" w:ascii="Trebuchet MS" w:hAnsi="Trebuchet MS"/>
        <w:sz w:val="20"/>
        <w:szCs w:val="20"/>
        <w:lang w:eastAsia="en-US"/>
      </w:rPr>
      <w:fldChar w:fldCharType="begin"/>
    </w:r>
    <w:r>
      <w:rPr>
        <w:sz w:val="20"/>
        <w:szCs w:val="20"/>
        <w:rFonts w:cs="Arial" w:ascii="Trebuchet MS" w:hAnsi="Trebuchet MS"/>
        <w:lang w:eastAsia="en-US"/>
      </w:rPr>
      <w:instrText> PAGE </w:instrText>
    </w:r>
    <w:r>
      <w:rPr>
        <w:sz w:val="20"/>
        <w:szCs w:val="20"/>
        <w:rFonts w:cs="Arial" w:ascii="Trebuchet MS" w:hAnsi="Trebuchet MS"/>
        <w:lang w:eastAsia="en-US"/>
      </w:rPr>
      <w:fldChar w:fldCharType="separate"/>
    </w:r>
    <w:r>
      <w:rPr>
        <w:sz w:val="20"/>
        <w:szCs w:val="20"/>
        <w:rFonts w:cs="Arial" w:ascii="Trebuchet MS" w:hAnsi="Trebuchet MS"/>
        <w:lang w:eastAsia="en-US"/>
      </w:rPr>
      <w:t>2</w:t>
    </w:r>
    <w:r>
      <w:rPr>
        <w:sz w:val="20"/>
        <w:szCs w:val="20"/>
        <w:rFonts w:cs="Arial" w:ascii="Trebuchet MS" w:hAnsi="Trebuchet MS"/>
        <w:lang w:eastAsia="en-US"/>
      </w:rPr>
      <w:fldChar w:fldCharType="end"/>
    </w:r>
    <w:r>
      <w:rPr>
        <w:rFonts w:cs="Arial" w:ascii="Trebuchet MS" w:hAnsi="Trebuchet MS"/>
        <w:sz w:val="20"/>
        <w:szCs w:val="20"/>
        <w:lang w:eastAsia="en-US"/>
      </w:rPr>
      <w:t>/</w:t>
    </w:r>
    <w:r>
      <w:rPr>
        <w:rFonts w:eastAsia="Times New Roman" w:cs="Arial"/>
        <w:sz w:val="20"/>
        <w:szCs w:val="20"/>
        <w:lang w:eastAsia="en-US"/>
      </w:rPr>
      <w:fldChar w:fldCharType="begin"/>
    </w:r>
    <w:r>
      <w:rPr>
        <w:sz w:val="20"/>
        <w:szCs w:val="20"/>
        <w:rFonts w:eastAsia="Times New Roman" w:cs="Arial"/>
        <w:lang w:eastAsia="en-US"/>
      </w:rPr>
      <w:instrText> NUMPAGES </w:instrText>
    </w:r>
    <w:r>
      <w:rPr>
        <w:sz w:val="20"/>
        <w:szCs w:val="20"/>
        <w:rFonts w:eastAsia="Times New Roman" w:cs="Arial"/>
        <w:lang w:eastAsia="en-US"/>
      </w:rPr>
      <w:fldChar w:fldCharType="separate"/>
    </w:r>
    <w:r>
      <w:rPr>
        <w:sz w:val="20"/>
        <w:szCs w:val="20"/>
        <w:rFonts w:eastAsia="Times New Roman" w:cs="Arial"/>
        <w:lang w:eastAsia="en-US"/>
      </w:rPr>
      <w:t>2</w:t>
    </w:r>
    <w:r>
      <w:rPr>
        <w:sz w:val="20"/>
        <w:szCs w:val="20"/>
        <w:rFonts w:eastAsia="Times New Roman" w:cs="Arial"/>
        <w:lang w:eastAsia="en-US"/>
      </w:rPr>
      <w:fldChar w:fldCharType="end"/>
    </w:r>
  </w:p>
  <w:p>
    <w:pPr>
      <w:pStyle w:val="Pta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footer" w:uiPriority="0" w:semiHidden="1" w:unhideWhenUsed="1"/>
    <w:lsdException w:name="caption" w:uiPriority="35" w:semiHidden="1" w:unhideWhenUsed="1" w:qFormat="1"/>
    <w:lsdException w:name="page number" w:uiPriority="0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2c2f41"/>
    <w:rPr>
      <w:rFonts w:cs="Times New Roman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2c2f41"/>
    <w:rPr>
      <w:rFonts w:cs="Times New Roman"/>
    </w:rPr>
  </w:style>
  <w:style w:type="character" w:styleId="Pagenumber">
    <w:name w:val="page number"/>
    <w:basedOn w:val="DefaultParagraphFont"/>
    <w:uiPriority w:val="99"/>
    <w:qFormat/>
    <w:rsid w:val="002c2f41"/>
    <w:rPr>
      <w:rFonts w:cs="Times New Roman"/>
    </w:rPr>
  </w:style>
  <w:style w:type="character" w:styleId="Appleconvertedspace" w:customStyle="1">
    <w:name w:val="apple-converted-space"/>
    <w:basedOn w:val="DefaultParagraphFont"/>
    <w:qFormat/>
    <w:rsid w:val="000b1bc8"/>
    <w:rPr>
      <w:rFonts w:cs="Times New Roman"/>
    </w:rPr>
  </w:style>
  <w:style w:type="character" w:styleId="Zkladntext2Char" w:customStyle="1">
    <w:name w:val="Základný text 2 Char"/>
    <w:basedOn w:val="DefaultParagraphFont"/>
    <w:link w:val="Zkladntext2"/>
    <w:uiPriority w:val="99"/>
    <w:qFormat/>
    <w:locked/>
    <w:rsid w:val="00ee4777"/>
    <w:rPr>
      <w:rFonts w:ascii="Times New Roman" w:hAnsi="Times New Roman" w:cs="Times New Roman"/>
      <w:sz w:val="20"/>
      <w:szCs w:val="20"/>
      <w:lang w:val="x-none" w:eastAsia="en-US"/>
    </w:rPr>
  </w:style>
  <w:style w:type="character" w:styleId="TextbublinyChar" w:customStyle="1">
    <w:name w:val="Text bubliny Char"/>
    <w:basedOn w:val="DefaultParagraphFont"/>
    <w:link w:val="Textbubliny"/>
    <w:uiPriority w:val="99"/>
    <w:qFormat/>
    <w:rsid w:val="00db6406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2c2f4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2c2f4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Zkladntext2Char"/>
    <w:uiPriority w:val="99"/>
    <w:qFormat/>
    <w:rsid w:val="00ee4777"/>
    <w:pPr>
      <w:spacing w:lineRule="auto" w:line="360" w:before="0" w:after="0"/>
    </w:pPr>
    <w:rPr>
      <w:rFonts w:ascii="Times New Roman" w:hAnsi="Times New Roman"/>
      <w:sz w:val="24"/>
      <w:szCs w:val="20"/>
      <w:lang w:eastAsia="en-US"/>
    </w:rPr>
  </w:style>
  <w:style w:type="paragraph" w:styleId="BalloonText">
    <w:name w:val="Balloon Text"/>
    <w:basedOn w:val="Normal"/>
    <w:link w:val="TextbublinyChar"/>
    <w:uiPriority w:val="99"/>
    <w:qFormat/>
    <w:rsid w:val="00db64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8158e1"/>
    <w:pPr>
      <w:suppressAutoHyphens w:val="true"/>
      <w:spacing w:lineRule="auto" w:line="240" w:before="100" w:after="119"/>
      <w:textAlignment w:val="baseline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7a3a"/>
    <w:pPr>
      <w:suppressAutoHyphens w:val="true"/>
      <w:spacing w:before="0" w:after="200"/>
      <w:ind w:left="720" w:hanging="0"/>
      <w:contextualSpacing/>
      <w:textAlignment w:val="baseline"/>
    </w:pPr>
    <w:rPr>
      <w:rFonts w:ascii="Calibri" w:hAnsi="Calibri" w:eastAsia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LibreOffice/6.4.7.2$Windows_X86_64 LibreOffice_project/639b8ac485750d5696d7590a72ef1b496725cfb5</Application>
  <Pages>3</Pages>
  <Words>313</Words>
  <Characters>2046</Characters>
  <CharactersWithSpaces>2392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2017-09-26T12:47:00Z</dcterms:created>
  <dc:creator>Smelkova</dc:creator>
  <dc:description/>
  <dc:language>sk-SK</dc:language>
  <cp:lastModifiedBy>Erika Šmelková</cp:lastModifiedBy>
  <cp:lastPrinted>2022-05-10T16:44:00Z</cp:lastPrinted>
  <dcterms:modified xsi:type="dcterms:W3CDTF">2022-05-10T16:44:00Z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